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31</w:t>
      </w:r>
    </w:p>
    <w:p>
      <w:r>
        <w:t>Bundesgericht (BGE), 2004-11-30, FR</w:t>
      </w:r>
    </w:p>
    <w:p>
      <w:r>
        <w:rPr>
          <w:b/>
        </w:rPr>
        <w:t xml:space="preserve">Quelle: </w:t>
      </w:r>
      <w:r>
        <w:t>https://mcp.opencaselaw.ch/entscheid/bge_131 I 31</w:t>
      </w:r>
    </w:p>
    <w:p>
      <w:r>
        <w:t>FR: ATF 131 I 31</w:t>
      </w:r>
    </w:p>
    <w:p>
      <w:r>
        <w:t>IT: DTF 131 I 31</w:t>
      </w:r>
    </w:p>
    <w:p>
      <w:pPr>
        <w:pStyle w:val="Heading2"/>
      </w:pPr>
      <w:r>
        <w:t>Regeste</w:t>
      </w:r>
    </w:p>
    <w:p>
      <w:r>
        <w:t>Regeste Anspruch auf rechtmässige Zusammensetzung des Gerichts (Art. 30 Abs. 1 BV und Art. 6 Ziff. 1 EMRK). Die zivilrechtliche Abteilung des Kantonsgerichts Waadt erfüllt in der Besetzung mit drei Richtern, von denen zwei Kantonsrichter und einer Bezirksgerichtspräsident sind, die Anforderungen nach Art. 30 Abs. 1 BV und Art. 6 Ziff. 1 EMRK an ein durch Gesetz geschaffenes, unabhängiges und unparteiisches Gericht (E. 2.1).</w:t>
      </w:r>
    </w:p>
    <w:p>
      <w:pPr>
        <w:pStyle w:val="Heading2"/>
      </w:pPr>
      <w:r>
        <w:t>Erwägungen</w:t>
      </w:r>
    </w:p>
    <w:p>
      <w:r>
        <w:rPr>
          <w:b/>
        </w:rPr>
        <w:t>E. 2.1</w:t>
      </w:r>
    </w:p>
    <w:p>
      <w:r>
        <w:t>Dans son premier moyen, le recourant soutient que la Cour civile, à l'audience de jugement, était composée de deux juges cantonaux, à savoir François Jomini et Pierre-Yves Bosshard, ainsi que d'Erica Riva, qui n'est ni juge cantonale, ni juge cantonale suppléante. Cette dernière n'étant pas le juge naturel des parties, sa présence au sein de la cour cantonale serait contraire aux art. 6 CEDH et 30 Cst. Pour le recourant, la Chambre des recours aurait dû constater la nullité d'une décision prise en violation du principe du juge naturel.</w:t>
      </w:r>
    </w:p>
    <w:p>
      <w:r>
        <w:rPr>
          <w:b/>
        </w:rPr>
        <w:t>E. 2.1.1</w:t>
      </w:r>
    </w:p>
    <w:p>
      <w:r>
        <w:t>Contrairement à la règle de l'épuisement des instances cantonales instaurée par l' art. 86 OJ , le recourant n'a pas invoqué le grief tiré de la violation des art. 6 CEDH et 30 Cst. devant la Chambre des recours. La jurisprudence admet cependant la recevabilité de moyens de droit nouveaux lorsque l'autorité cantonale de dernière instance BGE 131 I 31 S. 34 disposait d'un pouvoir d'examen libre et devait appliquer le droit d'office (cf. ATF 120 Ia 19 consid. 2b; ATF 119 Ia 88 consid. 1a et les arrêts cités; MARC FORSTER, Staatsrechtliche Beschwerde, Prozessieren vor Bundesgericht, 2 e éd., n. 2.51 p. 84/85). Cette exception vaut pour tous les griefs qui ne se confondent pas avec l'arbitraire, et notamment pour celui tiré de la violation du droit à un procès équitable. Le comportement du recourant ne doit toutefois pas porter atteinte à la règle de la bonne foi ( ATF 120 Ia 19 consid. 2c p. 24 ss; ATF 119 Ia 88 consid. 1a). In casu, la Chambre des recours était saisie d'un recours en nullité au sens des art. 444 à 448 CPC/VD. Conformément aux art. 465 al. 3 et 470 al. 1 CPC/VD, cette autorité n'examine que les moyens de nullité invoqués séparément par le recourant (JdT 1990 III p. 111; JEAN-FRANÇOIS POUDRET/JACQUES HALDY/DENIS TAPPY, Procédure civile vaudoise, 3 e éd., n. 2 ad art. 465 CPC /VD). La cognition de la Chambre des recours était donc limitée. Partant, les conditions d'une dérogation à l'exigence de l'épuisement des instances cantonales selon l' art. 86 OJ ne sont pas remplies, de sorte que le moyen est irrecevable.</w:t>
      </w:r>
    </w:p>
    <w:p>
      <w:r>
        <w:rPr>
          <w:b/>
        </w:rPr>
        <w:t>E. 2.1.2</w:t>
      </w:r>
    </w:p>
    <w:p>
      <w:r>
        <w:t>Fût-il recevable, que le grief serait infondé, comme l'examen ci-dessous, lequel apparaît nécessaire au point de vue de la sécurité du droit, le démontrera clairement.</w:t>
      </w:r>
    </w:p>
    <w:p>
      <w:r>
        <w:rPr>
          <w:b/>
        </w:rPr>
        <w:t>E. 2.1.2.1</w:t>
      </w:r>
    </w:p>
    <w:p>
      <w:r>
        <w:t>En vertu de l' art. 30 al. 1 Cst. - qui, de ce point de vue, a la même portée que l' art. 6 par. 1 CEDH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129 V 335 consid. 1.3.1 et les arrêts cités).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C'est en premier lieu à la lumière des règles cantonales applicables d'organisation et de procédure qu'il convient d'examiner si une autorité judiciaire ou administrative a statué dans une composition conforme à la loi. Sur ce point, le pouvoir d'examen du Tribunal fédéral est limité à l'arbitraire ( ATF 127 I 128 consid. 3c). BGE 131 I 31 S. 35 Indépendamment de cela, il examine librement - sans être lié par les griefs soulevés - si l'interprétation et l'application du droit cantonal, reconnues non arbitraires, sont compatibles avec la garantie d'un tribunal établi par la loi, compétent, indépendant et impartial ( ATF 129 V 335 consid. 1.3.2; ATF 126 I 73 consid. 3b).</w:t>
      </w:r>
    </w:p>
    <w:p>
      <w:r>
        <w:rPr>
          <w:b/>
        </w:rPr>
        <w:t>E. 2.1.2.2</w:t>
      </w:r>
    </w:p>
    <w:p>
      <w:r>
        <w:t>L'art. 124a de la loi vaudoise du 12 décembre 1979 d'organisation judiciaire (OJV) dispose que jusqu'à la révision des dispositions de la loi fédérale d'organisation judiciaire régissant les contestations civiles pécuniaires, les présidents de tribunaux d'arrondissement peuvent être appelés à siéger à la cour civile du Tribunal cantonal, en dérogation aux articles 88 et 89 de la présente loi (al. 1); lorsqu'il est fait usage de cette faculté, la cour civile doit dans tous les cas rester composée d'une majorité de juges cantonaux (al. 2). On voit ainsi que jusqu'à l'élévation du seuil de la valeur litigieuse pour le recours en réforme au Tribunal fédéral, la loi cantonale permet d'appeler un président de tribunal d'arrondissement à siéger à la Cour civile avec deux autres juges cantonaux. Erica Riva, qui est présidente du Tribunal des baux du canton de Vaud, a le même rang qu'un président de tribunal d'arrondissement (art. 3 al. 4 de la loi du 13 décembre 1981 sur le Tribunal des baux). Dans la mesure où la composition de la Cour civile dans le présent procès était conforme à l'art. 124a OJV, qui permet à cette autorité de statuer valablement lorsqu'y siègent au moins deux juges cantonaux (i.e. François Jomini et Pierre-Yves Bosshard) accompagnés d'un magistrat ayant rang de président de tribunal d'arrondissement (i.e. Erica Riva), ni l'interprétation ni l'application de cette norme ne sauraient être taxées d'arbitraire. Enfin, au point de vue de la garantie d'indépendance et d'impartialité de la Cour civile siégeant dans la composition précitée - point que le Tribunal fédéral peut examiner librement - il n'apparaît pas que les doutes du recourant à ce sujet aient un quelconque fondement. Erica Riva est certes hiérarchiquement subordonnée au Tribunal cantonal, qui nomme les magistrats et fonctionnaires de l'ordre judiciaire et exerce sur eux le pouvoir disciplinaire (art. 8 al. 2 OJV). Toutefois, c'est la Cour plénière du Tribunal cantonal qui nomme les magistrats judiciaires ( art. 69 let . d OJV). Partant, Erica Riva n'ayant pas été nommée présidente du tribunal des baux par les seuls juges cantonaux Jomini et Bosshard, mais par le tribunal BGE 131 I 31 S. 36 cantonal in corpore, on ne voit pas que, redevable de sa nomination à l'égard des prénommés, elle ait pu se laisser guider par le souci de ne pas les offusquer en adhérant sans discuter à leurs thèses. On peut encore ajouter que le Président de la Cour Jomini n'a pas agi dans la cause comme juge instructeur - à l'instar d'ailleurs du Juge Bosshard -, de sorte qu'il n'avait pas une connaissance du dossier largement supérieure à Erica Riva, susceptible de maintenir celle-ci en position de faiblesse lors de la délibération.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